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406A" w14:textId="4CDBD2CB" w:rsidR="00114245" w:rsidRPr="001F5891" w:rsidRDefault="00114245" w:rsidP="001F5891">
      <w:pP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aps/>
          <w:sz w:val="36"/>
          <w:szCs w:val="36"/>
          <w:lang w:eastAsia="cs-CZ"/>
        </w:rPr>
      </w:pPr>
      <w:r w:rsidRPr="001F5891">
        <w:rPr>
          <w:rFonts w:ascii="Cambria" w:eastAsia="Times New Roman" w:hAnsi="Cambria" w:cs="Times New Roman"/>
          <w:b/>
          <w:bCs/>
          <w:caps/>
          <w:sz w:val="36"/>
          <w:szCs w:val="36"/>
          <w:lang w:eastAsia="cs-CZ"/>
        </w:rPr>
        <w:t>JAK MŮŽEME ŽÁKY S OMJ PODPOROVAT VE VÝUCE?</w:t>
      </w:r>
    </w:p>
    <w:p w14:paraId="28328D57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caps/>
          <w:sz w:val="36"/>
          <w:szCs w:val="36"/>
          <w:lang w:eastAsia="cs-CZ"/>
        </w:rPr>
      </w:pPr>
    </w:p>
    <w:p w14:paraId="587CE87D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caps/>
          <w:sz w:val="26"/>
          <w:szCs w:val="26"/>
          <w:lang w:eastAsia="cs-CZ"/>
        </w:rPr>
      </w:pPr>
      <w:r w:rsidRPr="001F5891">
        <w:rPr>
          <w:rFonts w:ascii="Cambria" w:eastAsia="Times New Roman" w:hAnsi="Cambria" w:cs="Times New Roman"/>
          <w:caps/>
          <w:sz w:val="26"/>
          <w:szCs w:val="26"/>
          <w:lang w:eastAsia="cs-CZ"/>
        </w:rPr>
        <w:t>1. TO NEJDŮLEŽITĚJŠÍ A NEJNUTNĚJŠÍ</w:t>
      </w:r>
    </w:p>
    <w:p w14:paraId="4AEFF646" w14:textId="4095D8D9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 xml:space="preserve">Podle zahraničních výzkumů (teorie ledovce) trvá žákovi naučit se odborný/akademický jazyk používaný ve výuce 5-7, někdy i 10 let. Je tedy nemožné očekávat, že se žák z ciziny </w:t>
      </w:r>
      <w:proofErr w:type="gramStart"/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naučí</w:t>
      </w:r>
      <w:proofErr w:type="gramEnd"/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vše stejně rychle jako rodilý mluvčí. Středoškolské obory samozřejmě mají určené výstupy, které musí absolvent naplnit. Nicméně nadměrné množství látky a svižné tempo může žáky s OMJ rychle demotivovat a navodit pocit, že jim ujíždí vlak. Snažíme se tedy úměrně redukovat množství </w:t>
      </w:r>
      <w:r w:rsidR="001F5891" w:rsidRPr="001F5891">
        <w:rPr>
          <w:rFonts w:ascii="Cambria" w:eastAsia="Times New Roman" w:hAnsi="Cambria" w:cs="Times New Roman"/>
          <w:sz w:val="23"/>
          <w:szCs w:val="23"/>
          <w:lang w:eastAsia="cs-CZ"/>
        </w:rPr>
        <w:t>učiva – učíme</w:t>
      </w: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to nejdůležitější a nejnutnější, tedy minimální pro život/praxi/závěrečné zkoušky. Ideálně prostřednictvím nastavování průběžných cílů formou IVP.</w:t>
      </w:r>
    </w:p>
    <w:p w14:paraId="793A4E54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</w:p>
    <w:p w14:paraId="72C7C6B9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caps/>
          <w:sz w:val="26"/>
          <w:szCs w:val="26"/>
          <w:lang w:eastAsia="cs-CZ"/>
        </w:rPr>
      </w:pPr>
      <w:r w:rsidRPr="001F5891">
        <w:rPr>
          <w:rFonts w:ascii="Cambria" w:eastAsia="Times New Roman" w:hAnsi="Cambria" w:cs="Times New Roman"/>
          <w:caps/>
          <w:sz w:val="26"/>
          <w:szCs w:val="26"/>
          <w:lang w:eastAsia="cs-CZ"/>
        </w:rPr>
        <w:t>2. UVĚDOMĚNÍ SI JAZYKA</w:t>
      </w:r>
    </w:p>
    <w:p w14:paraId="751FAB9A" w14:textId="1BDE197E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Při výuce klademe důraz zejména na obsah látky, používáme pro něj však specifický – odborný – jazyk. Kontext a obsah neexistuje bez jazyka, stejně jako jazyk bez kontextu či obsahu ztrácí smysl. Proto je třeba si vědomě všímat slovní zásoby daného předmětu a pracovat s ní. Před samotnou výukou je tedy dobré si kromě obsahového cíle stanovit také ten </w:t>
      </w:r>
      <w:hyperlink r:id="rId5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jazykový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 xml:space="preserve">, to </w:t>
      </w:r>
      <w:r w:rsidR="001F5891" w:rsidRPr="001F5891">
        <w:rPr>
          <w:rFonts w:ascii="Cambria" w:eastAsia="Times New Roman" w:hAnsi="Cambria" w:cs="Times New Roman"/>
          <w:sz w:val="23"/>
          <w:szCs w:val="23"/>
          <w:lang w:eastAsia="cs-CZ"/>
        </w:rPr>
        <w:t>znamená,</w:t>
      </w: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jakým slovům a frázím budou žáci potřebovat porozumět a zároveň je produkovat. S těmi pak můžeme aktivně pracovat: průběžně je píšeme na tabuli, necháme ostatní, aby je žákovi vysvětlili, začleníme je do pracovních listů, připravíme žákovi tabulku s těmito výrazy k pracovnímu listu nebo zavedeme v hodinách vlastní tematické slovníčky, do kterých společně vyplňujeme odbornou slovní zásobu.</w:t>
      </w:r>
    </w:p>
    <w:p w14:paraId="57A8339F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</w:p>
    <w:p w14:paraId="5B0731A6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caps/>
          <w:sz w:val="26"/>
          <w:szCs w:val="26"/>
          <w:lang w:eastAsia="cs-CZ"/>
        </w:rPr>
      </w:pPr>
      <w:r w:rsidRPr="001F5891">
        <w:rPr>
          <w:rFonts w:ascii="Cambria" w:eastAsia="Times New Roman" w:hAnsi="Cambria" w:cs="Times New Roman"/>
          <w:caps/>
          <w:sz w:val="26"/>
          <w:szCs w:val="26"/>
          <w:lang w:eastAsia="cs-CZ"/>
        </w:rPr>
        <w:t>3. JAZYKOVÉ ÚKOLY PRO VŠECHNY</w:t>
      </w:r>
    </w:p>
    <w:p w14:paraId="3E088D23" w14:textId="06BDB85E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 xml:space="preserve">A jak ověříme, že žáci s OMJ správně porozuměli slovní zásobě a frázím, s nimiž v hodině pracujeme? Vždy bychom měli do hodiny začlenit také „jazykové úkoly“. Ty v první řadě </w:t>
      </w:r>
      <w:proofErr w:type="gramStart"/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cvičí</w:t>
      </w:r>
      <w:proofErr w:type="gramEnd"/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porozumění a používání odborného jazyka, zároveň s tím ale procvičují také danou látku, a proto jsou vhodné pro celou třídu.</w:t>
      </w:r>
    </w:p>
    <w:p w14:paraId="2F46A436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Jazykové úkoly mohou mít podobu:</w:t>
      </w:r>
    </w:p>
    <w:p w14:paraId="441681A3" w14:textId="77777777" w:rsidR="00114245" w:rsidRPr="001F5891" w:rsidRDefault="00114245" w:rsidP="001F5891">
      <w:pPr>
        <w:numPr>
          <w:ilvl w:val="0"/>
          <w:numId w:val="1"/>
        </w:numPr>
        <w:shd w:val="clear" w:color="auto" w:fill="FFFFFF"/>
        <w:spacing w:after="225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Doplňování do vět</w:t>
      </w:r>
    </w:p>
    <w:p w14:paraId="2E7811C6" w14:textId="77777777" w:rsidR="00114245" w:rsidRPr="001F5891" w:rsidRDefault="00114245" w:rsidP="001F5891">
      <w:pPr>
        <w:numPr>
          <w:ilvl w:val="0"/>
          <w:numId w:val="1"/>
        </w:numPr>
        <w:shd w:val="clear" w:color="auto" w:fill="FFFFFF"/>
        <w:spacing w:after="225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Kroužkování/vybírání možností</w:t>
      </w:r>
    </w:p>
    <w:p w14:paraId="4F4E9E50" w14:textId="77777777" w:rsidR="00114245" w:rsidRPr="001F5891" w:rsidRDefault="00114245" w:rsidP="001F5891">
      <w:pPr>
        <w:numPr>
          <w:ilvl w:val="0"/>
          <w:numId w:val="1"/>
        </w:numPr>
        <w:shd w:val="clear" w:color="auto" w:fill="FFFFFF"/>
        <w:spacing w:after="225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Spojování správných vět dohromady</w:t>
      </w:r>
    </w:p>
    <w:p w14:paraId="161C448C" w14:textId="77777777" w:rsidR="00114245" w:rsidRPr="001F5891" w:rsidRDefault="00114245" w:rsidP="001F5891">
      <w:pPr>
        <w:numPr>
          <w:ilvl w:val="0"/>
          <w:numId w:val="1"/>
        </w:numPr>
        <w:shd w:val="clear" w:color="auto" w:fill="FFFFFF"/>
        <w:spacing w:after="225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Dokončování začátků vět</w:t>
      </w:r>
    </w:p>
    <w:p w14:paraId="557E6E66" w14:textId="77777777" w:rsidR="00114245" w:rsidRPr="001F5891" w:rsidRDefault="00114245" w:rsidP="001F5891">
      <w:pPr>
        <w:numPr>
          <w:ilvl w:val="0"/>
          <w:numId w:val="1"/>
        </w:numPr>
        <w:shd w:val="clear" w:color="auto" w:fill="FFFFFF"/>
        <w:spacing w:after="225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Volbu a) b) c)</w:t>
      </w:r>
    </w:p>
    <w:p w14:paraId="6E5E1A17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Všechny lze jednoduše vytvořit také v online verzi např. na stránkách </w:t>
      </w:r>
      <w:hyperlink r:id="rId6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Learningapps.org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 (příklad </w:t>
      </w:r>
      <w:hyperlink r:id="rId7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spojování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, </w:t>
      </w:r>
      <w:hyperlink r:id="rId8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doplňování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, </w:t>
      </w:r>
      <w:hyperlink r:id="rId9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vybírání z nabídky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).</w:t>
      </w:r>
    </w:p>
    <w:p w14:paraId="2B1BD8CC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Ať už bude úkol jakýkoliv, vždy by měl mít žák s OMJ k dispozici nějakou podporu – tedy nabídku slov, která se doplňují, začátky vět, možnosti na výběr a samozřejmě příklad řešení úkolu (ukázku, co má s úkolem dělat). Tyto úkoly by také měly ideálně pracovat se slovní zásobou a frázemi, které může žák s OMJ někde najít – v předchozím textu, učebnici, pracovním listě. Tato podpora pak může být ostatním žákům ponechána, či odebrána.</w:t>
      </w:r>
    </w:p>
    <w:p w14:paraId="56299903" w14:textId="7EA3D03C" w:rsid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  <w:t>TIP! Inspirujte se již vytvořenými výukovými materiály pro žáky s OMJ: </w:t>
      </w:r>
      <w:hyperlink r:id="rId10" w:history="1">
        <w:r w:rsidRPr="001F5891">
          <w:rPr>
            <w:rFonts w:ascii="Cambria" w:eastAsia="Times New Roman" w:hAnsi="Cambria" w:cs="Times New Roman"/>
            <w:i/>
            <w:iCs/>
            <w:sz w:val="23"/>
            <w:szCs w:val="23"/>
            <w:lang w:eastAsia="cs-CZ"/>
          </w:rPr>
          <w:t>ČJL na SŠ </w:t>
        </w:r>
      </w:hyperlink>
      <w:r w:rsidRPr="001F5891"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  <w:t>(pracovní listy do běžné výuky i k přípravě na MZ) nebo </w:t>
      </w:r>
      <w:hyperlink r:id="rId11" w:history="1">
        <w:r w:rsidRPr="001F5891">
          <w:rPr>
            <w:rFonts w:ascii="Cambria" w:eastAsia="Times New Roman" w:hAnsi="Cambria" w:cs="Times New Roman"/>
            <w:i/>
            <w:iCs/>
            <w:sz w:val="23"/>
            <w:szCs w:val="23"/>
            <w:lang w:eastAsia="cs-CZ"/>
          </w:rPr>
          <w:t xml:space="preserve">pracovní </w:t>
        </w:r>
        <w:r w:rsidR="001F5891" w:rsidRPr="001F5891">
          <w:rPr>
            <w:rFonts w:ascii="Cambria" w:eastAsia="Times New Roman" w:hAnsi="Cambria" w:cs="Times New Roman"/>
            <w:i/>
            <w:iCs/>
            <w:sz w:val="23"/>
            <w:szCs w:val="23"/>
            <w:lang w:eastAsia="cs-CZ"/>
          </w:rPr>
          <w:t>listy – předměty</w:t>
        </w:r>
      </w:hyperlink>
      <w:r w:rsidRPr="001F5891"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  <w:t> (dějepis, zeměpis, přírodopis, výchova k občanství…).</w:t>
      </w:r>
    </w:p>
    <w:p w14:paraId="6D788A1A" w14:textId="77777777" w:rsidR="001F5891" w:rsidRDefault="001F5891">
      <w:pPr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</w:pPr>
      <w:r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  <w:br w:type="page"/>
      </w:r>
    </w:p>
    <w:p w14:paraId="7700630E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caps/>
          <w:sz w:val="26"/>
          <w:szCs w:val="26"/>
          <w:lang w:eastAsia="cs-CZ"/>
        </w:rPr>
      </w:pPr>
      <w:r w:rsidRPr="001F5891">
        <w:rPr>
          <w:rFonts w:ascii="Cambria" w:eastAsia="Times New Roman" w:hAnsi="Cambria" w:cs="Times New Roman"/>
          <w:caps/>
          <w:sz w:val="26"/>
          <w:szCs w:val="26"/>
          <w:lang w:eastAsia="cs-CZ"/>
        </w:rPr>
        <w:lastRenderedPageBreak/>
        <w:t>4. NÁZORNOST</w:t>
      </w:r>
    </w:p>
    <w:p w14:paraId="64E50E57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Jako podporu porozumění látce i jazyku můžeme použít různé druhy znázornění:</w:t>
      </w:r>
    </w:p>
    <w:p w14:paraId="4263FBFE" w14:textId="77777777" w:rsidR="00114245" w:rsidRPr="001F5891" w:rsidRDefault="00114245" w:rsidP="001F589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Výuku doplňujeme vizualizací: obrázky, videa, komiksy, piktogramy…</w:t>
      </w:r>
    </w:p>
    <w:p w14:paraId="10C717B1" w14:textId="77777777" w:rsidR="00114245" w:rsidRPr="001F5891" w:rsidRDefault="00114245" w:rsidP="001F589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 xml:space="preserve">Pro znázornění kontextu a vztahů jednotlivých prvků, kategorizaci a organizaci tématu využíváme schémata – tabulky, klasifikační stromy, časové osy, </w:t>
      </w:r>
      <w:proofErr w:type="spellStart"/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Vennovy</w:t>
      </w:r>
      <w:proofErr w:type="spellEnd"/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diagramy, schémata cyklů, myšlenkové mapy a další </w:t>
      </w:r>
      <w:hyperlink r:id="rId12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klíčové vizuály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. K těmto schématům dodáváme žákům i potřebnou slovní zásobu, aby se o nich žáci dokázali vyjádřit (např. </w:t>
      </w:r>
      <w:r w:rsidRPr="001F5891"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  <w:t>…se dělí na…, nejdřív-potom-pak-nakonec, …</w:t>
      </w:r>
      <w:proofErr w:type="gramStart"/>
      <w:r w:rsidRPr="001F5891"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  <w:t>patří</w:t>
      </w:r>
      <w:proofErr w:type="gramEnd"/>
      <w:r w:rsidRPr="001F5891"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  <w:t xml:space="preserve"> mezi… </w:t>
      </w: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aj.). Pokud mají schémata žáci vyplňovat, těm s OMJ dodáme databázi slov, z níž vybírají.</w:t>
      </w:r>
    </w:p>
    <w:p w14:paraId="40E4A1AA" w14:textId="77777777" w:rsidR="00114245" w:rsidRPr="001F5891" w:rsidRDefault="00114245" w:rsidP="001F589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Myšlenkové mapy využíváme pro znázornění tématu, ale také pro sepsání konkrétní slovní zásoby a frází z daného tématu. Využíváme je v různých etapách výuky (v rámci uvědomění, pro výklad, procvičování i opakování). Tvořit můžeme společně, ve skupinách, či na závěr individuálně.</w:t>
      </w:r>
    </w:p>
    <w:p w14:paraId="1E1AD1B9" w14:textId="77777777" w:rsidR="00114245" w:rsidRPr="001F5891" w:rsidRDefault="00114245" w:rsidP="001F589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Píšeme (a kreslíme) na tabuli. Dbáme na to, aby se vše neodehrávalo jen v ústní rovině, dáváme šanci žákům s OMJ orientovat se a „chytat se“ díky psanému textu na tabuli.</w:t>
      </w:r>
    </w:p>
    <w:p w14:paraId="05EC6D51" w14:textId="77777777" w:rsidR="00114245" w:rsidRPr="001F5891" w:rsidRDefault="00114245" w:rsidP="001F589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Místo složitého popisu ukazujeme, předvádíme, gestikulujeme.</w:t>
      </w:r>
    </w:p>
    <w:p w14:paraId="5A2A7E5D" w14:textId="77777777" w:rsidR="00114245" w:rsidRPr="001F5891" w:rsidRDefault="00114245" w:rsidP="001F589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Jako první ukazujeme jasný příklad, jak mají žáci postupovat, co mají dělat.</w:t>
      </w:r>
    </w:p>
    <w:p w14:paraId="2B3E89A2" w14:textId="14DFE527" w:rsidR="00114245" w:rsidRPr="001F5891" w:rsidRDefault="00114245" w:rsidP="001F589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Poskytujeme žákům možnost si vše vyzkoušet s naší podporou a zpětnou vazbou, třeba formou didaktické hry (hádej kdo jsem, riskuj…).</w:t>
      </w:r>
    </w:p>
    <w:p w14:paraId="6C66D392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</w:p>
    <w:p w14:paraId="1932C925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caps/>
          <w:sz w:val="26"/>
          <w:szCs w:val="26"/>
          <w:lang w:eastAsia="cs-CZ"/>
        </w:rPr>
      </w:pPr>
      <w:r w:rsidRPr="001F5891">
        <w:rPr>
          <w:rFonts w:ascii="Cambria" w:eastAsia="Times New Roman" w:hAnsi="Cambria" w:cs="Times New Roman"/>
          <w:caps/>
          <w:sz w:val="26"/>
          <w:szCs w:val="26"/>
          <w:lang w:eastAsia="cs-CZ"/>
        </w:rPr>
        <w:t>5. KOMUNIKACE</w:t>
      </w:r>
    </w:p>
    <w:p w14:paraId="4C5B5A3F" w14:textId="3FCF700A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Jazyk se nejlépe trénuje, pokud se používá. Dopřejme žákům možnost komunikovat mezi sebou o probírané látce, lepší porozumění může přijít spíše od spolužáků než z učebnice. Práce ve skupinách či dvojicích poskytuje bezpečný prostor, kde se jazyk procvičuje.</w:t>
      </w:r>
    </w:p>
    <w:p w14:paraId="417C2351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</w:p>
    <w:p w14:paraId="67A1F980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caps/>
          <w:sz w:val="26"/>
          <w:szCs w:val="26"/>
          <w:lang w:eastAsia="cs-CZ"/>
        </w:rPr>
      </w:pPr>
      <w:r w:rsidRPr="001F5891">
        <w:rPr>
          <w:rFonts w:ascii="Cambria" w:eastAsia="Times New Roman" w:hAnsi="Cambria" w:cs="Times New Roman"/>
          <w:caps/>
          <w:sz w:val="26"/>
          <w:szCs w:val="26"/>
          <w:lang w:eastAsia="cs-CZ"/>
        </w:rPr>
        <w:t>6. SLOVNÍČKY</w:t>
      </w:r>
    </w:p>
    <w:p w14:paraId="4BEDA2CE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Při učení se cizímu jazyku vždy jako první saháme po slovníku/překladači. I žáci s OMJ by nějakou formu slovníku měli mít při ruce. Podrobnosti se dočtete v článku </w:t>
      </w:r>
      <w:hyperlink r:id="rId13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Slovníčky na SŠ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.</w:t>
      </w:r>
    </w:p>
    <w:p w14:paraId="768B839D" w14:textId="77777777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Podrobnější informace a další se dočtete v článcích </w:t>
      </w:r>
      <w:hyperlink r:id="rId14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Principy práce s žáky s OMJ na ZŠ, SŠ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 a </w:t>
      </w:r>
      <w:hyperlink r:id="rId15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Zapojení do výuky ZŠ, SŠ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. Blíže se tématu věnují také naše </w:t>
      </w:r>
      <w:hyperlink r:id="rId16" w:history="1">
        <w:r w:rsidRPr="001F5891">
          <w:rPr>
            <w:rFonts w:ascii="Cambria" w:eastAsia="Times New Roman" w:hAnsi="Cambria" w:cs="Times New Roman"/>
            <w:sz w:val="23"/>
            <w:szCs w:val="23"/>
            <w:lang w:eastAsia="cs-CZ"/>
          </w:rPr>
          <w:t>semináře pro pedagogy</w:t>
        </w:r>
      </w:hyperlink>
      <w:r w:rsidRPr="001F5891">
        <w:rPr>
          <w:rFonts w:ascii="Cambria" w:eastAsia="Times New Roman" w:hAnsi="Cambria" w:cs="Times New Roman"/>
          <w:sz w:val="23"/>
          <w:szCs w:val="23"/>
          <w:lang w:eastAsia="cs-CZ"/>
        </w:rPr>
        <w:t>: Metody ve výuce žáků s OMJ I. a II. nebo částečně také Začleňování a výuka žáků s OMJ na SŠ.</w:t>
      </w:r>
    </w:p>
    <w:p w14:paraId="3756AA64" w14:textId="3912207C" w:rsidR="00114245" w:rsidRPr="001F5891" w:rsidRDefault="00114245" w:rsidP="001F589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</w:p>
    <w:p w14:paraId="22D44CE6" w14:textId="0774FC3C" w:rsidR="00114245" w:rsidRPr="001F5891" w:rsidRDefault="003754A4" w:rsidP="001F5891">
      <w:pPr>
        <w:jc w:val="both"/>
        <w:rPr>
          <w:rFonts w:ascii="Cambria" w:hAnsi="Cambria"/>
        </w:rPr>
      </w:pPr>
      <w:r w:rsidRPr="001F5891">
        <w:rPr>
          <w:rFonts w:ascii="Cambria" w:eastAsia="Times New Roman" w:hAnsi="Cambria" w:cs="Times New Roman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D49EA" wp14:editId="04723A44">
                <wp:simplePos x="0" y="0"/>
                <wp:positionH relativeFrom="margin">
                  <wp:posOffset>1006348</wp:posOffset>
                </wp:positionH>
                <wp:positionV relativeFrom="paragraph">
                  <wp:posOffset>107061</wp:posOffset>
                </wp:positionV>
                <wp:extent cx="3538728" cy="566928"/>
                <wp:effectExtent l="0" t="0" r="5080" b="508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728" cy="56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5EE29" w14:textId="5930DB04" w:rsidR="001F5891" w:rsidRDefault="001F5891" w:rsidP="001F58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1FE28" wp14:editId="11E6AABD">
                                  <wp:extent cx="3218815" cy="347345"/>
                                  <wp:effectExtent l="0" t="0" r="635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8815" cy="347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49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9.25pt;margin-top:8.45pt;width:278.6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" fillcolor="white [3201]" stroked="f" strokeweight=".5pt">
                <v:textbox>
                  <w:txbxContent>
                    <w:p w14:paraId="2545EE29" w14:textId="5930DB04" w:rsidR="001F5891" w:rsidRDefault="001F5891" w:rsidP="001F5891">
                      <w:r>
                        <w:rPr>
                          <w:noProof/>
                        </w:rPr>
                        <w:drawing>
                          <wp:inline distT="0" distB="0" distL="0" distR="0" wp14:anchorId="45C1FE28" wp14:editId="11E6AABD">
                            <wp:extent cx="3218815" cy="347345"/>
                            <wp:effectExtent l="0" t="0" r="635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8815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E92C5" w14:textId="4FBE7028" w:rsidR="00AA1E98" w:rsidRPr="001F5891" w:rsidRDefault="00AA1E98" w:rsidP="001F5891">
      <w:pPr>
        <w:jc w:val="both"/>
        <w:rPr>
          <w:rFonts w:ascii="Cambria" w:hAnsi="Cambria"/>
        </w:rPr>
      </w:pPr>
    </w:p>
    <w:p w14:paraId="620924C4" w14:textId="0A1E29B0" w:rsidR="00AA1E98" w:rsidRPr="001F5891" w:rsidRDefault="00AA1E98" w:rsidP="001F5891">
      <w:pPr>
        <w:jc w:val="both"/>
        <w:rPr>
          <w:rFonts w:ascii="Cambria" w:hAnsi="Cambria"/>
        </w:rPr>
      </w:pPr>
    </w:p>
    <w:p w14:paraId="6EA3EADA" w14:textId="6B66918E" w:rsidR="001F5891" w:rsidRDefault="003754A4" w:rsidP="001F5891">
      <w:pPr>
        <w:jc w:val="both"/>
        <w:rPr>
          <w:rFonts w:ascii="Cambria" w:hAnsi="Cambria"/>
        </w:rPr>
      </w:pPr>
      <w:r w:rsidRPr="001F5891">
        <w:rPr>
          <w:rFonts w:ascii="Cambria" w:eastAsia="Times New Roman" w:hAnsi="Cambria" w:cs="Times New Roman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C8CE" wp14:editId="58EADF6F">
                <wp:simplePos x="0" y="0"/>
                <wp:positionH relativeFrom="margin">
                  <wp:align>center</wp:align>
                </wp:positionH>
                <wp:positionV relativeFrom="paragraph">
                  <wp:posOffset>45974</wp:posOffset>
                </wp:positionV>
                <wp:extent cx="2788920" cy="740410"/>
                <wp:effectExtent l="0" t="0" r="0" b="254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74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A4BBD" w14:textId="5D350FCB" w:rsidR="001F5891" w:rsidRDefault="001F5891">
                            <w:bookmarkStart w:id="0" w:name="_Hlk11689280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1585E" wp14:editId="1B13AF34">
                                  <wp:extent cx="2485390" cy="642620"/>
                                  <wp:effectExtent l="0" t="0" r="0" b="508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5390" cy="64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EC8CE" id="Textové pole 1" o:spid="_x0000_s1027" type="#_x0000_t202" style="position:absolute;left:0;text-align:left;margin-left:0;margin-top:3.6pt;width:219.6pt;height:58.3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" fillcolor="white [3201]" stroked="f" strokeweight=".5pt">
                <v:textbox>
                  <w:txbxContent>
                    <w:p w14:paraId="043A4BBD" w14:textId="5D350FCB" w:rsidR="001F5891" w:rsidRDefault="001F5891">
                      <w:bookmarkStart w:id="1" w:name="_Hlk11689280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471585E" wp14:editId="1B13AF34">
                            <wp:extent cx="2485390" cy="642620"/>
                            <wp:effectExtent l="0" t="0" r="0" b="508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5390" cy="64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76881" w14:textId="754100D1" w:rsidR="001F5891" w:rsidRDefault="001F5891" w:rsidP="001F5891">
      <w:pPr>
        <w:jc w:val="both"/>
        <w:rPr>
          <w:rFonts w:ascii="Cambria" w:hAnsi="Cambria"/>
        </w:rPr>
      </w:pPr>
    </w:p>
    <w:p w14:paraId="59C9379A" w14:textId="2DFD2C57" w:rsidR="001F5891" w:rsidRDefault="001F5891" w:rsidP="001F5891">
      <w:pPr>
        <w:jc w:val="both"/>
        <w:rPr>
          <w:rFonts w:ascii="Cambria" w:hAnsi="Cambria"/>
        </w:rPr>
      </w:pPr>
    </w:p>
    <w:p w14:paraId="649AD554" w14:textId="22F6DB8C" w:rsidR="003754A4" w:rsidRDefault="003754A4" w:rsidP="001F5891">
      <w:pPr>
        <w:jc w:val="both"/>
        <w:rPr>
          <w:rFonts w:ascii="Cambria" w:hAnsi="Cambria"/>
        </w:rPr>
      </w:pPr>
    </w:p>
    <w:p w14:paraId="73515024" w14:textId="77777777" w:rsidR="003754A4" w:rsidRPr="001F5891" w:rsidRDefault="003754A4" w:rsidP="001F5891">
      <w:pPr>
        <w:jc w:val="both"/>
        <w:rPr>
          <w:rFonts w:ascii="Cambria" w:hAnsi="Cambria"/>
        </w:rPr>
      </w:pPr>
    </w:p>
    <w:p w14:paraId="39760038" w14:textId="1B7389CD" w:rsidR="001F5891" w:rsidRPr="001F5891" w:rsidRDefault="001F5891" w:rsidP="001F5891">
      <w:pPr>
        <w:jc w:val="both"/>
        <w:rPr>
          <w:rFonts w:ascii="Cambria" w:hAnsi="Cambria"/>
          <w:b/>
          <w:bCs/>
          <w:sz w:val="36"/>
          <w:szCs w:val="36"/>
        </w:rPr>
      </w:pPr>
      <w:r w:rsidRPr="001F5891">
        <w:rPr>
          <w:rFonts w:ascii="Cambria" w:hAnsi="Cambria"/>
          <w:b/>
          <w:bCs/>
          <w:sz w:val="36"/>
          <w:szCs w:val="36"/>
        </w:rPr>
        <w:t>Zdroje:</w:t>
      </w:r>
    </w:p>
    <w:p w14:paraId="269E09C3" w14:textId="77777777" w:rsidR="001F5891" w:rsidRPr="001F5891" w:rsidRDefault="001F5891" w:rsidP="001F5891">
      <w:pPr>
        <w:jc w:val="both"/>
        <w:rPr>
          <w:rFonts w:ascii="Cambria" w:hAnsi="Cambria"/>
        </w:rPr>
      </w:pPr>
    </w:p>
    <w:p w14:paraId="1FF48FBD" w14:textId="62CA9F44" w:rsidR="00AA1E98" w:rsidRPr="001F5891" w:rsidRDefault="00AA1E98" w:rsidP="001F5891">
      <w:pPr>
        <w:jc w:val="both"/>
        <w:rPr>
          <w:rFonts w:ascii="Cambria" w:hAnsi="Cambria"/>
        </w:rPr>
      </w:pPr>
      <w:r w:rsidRPr="001F5891">
        <w:rPr>
          <w:rFonts w:ascii="Cambria" w:hAnsi="Cambria"/>
        </w:rPr>
        <w:t>https://inkluzivniskola.cz/vyuka-na-ss</w:t>
      </w:r>
    </w:p>
    <w:sectPr w:rsidR="00AA1E98" w:rsidRPr="001F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60C0E"/>
    <w:multiLevelType w:val="multilevel"/>
    <w:tmpl w:val="2AD0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33497"/>
    <w:multiLevelType w:val="multilevel"/>
    <w:tmpl w:val="917A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858557">
    <w:abstractNumId w:val="1"/>
  </w:num>
  <w:num w:numId="2" w16cid:durableId="45588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45"/>
    <w:rsid w:val="00114245"/>
    <w:rsid w:val="001F5891"/>
    <w:rsid w:val="003754A4"/>
    <w:rsid w:val="00AA1E98"/>
    <w:rsid w:val="00B6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E3CF"/>
  <w15:chartTrackingRefBased/>
  <w15:docId w15:val="{7F829061-1266-4C1B-9D8F-390805C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14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142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42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142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424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14245"/>
    <w:rPr>
      <w:b/>
      <w:bCs/>
    </w:rPr>
  </w:style>
  <w:style w:type="character" w:styleId="Zdraznn">
    <w:name w:val="Emphasis"/>
    <w:basedOn w:val="Standardnpsmoodstavce"/>
    <w:uiPriority w:val="20"/>
    <w:qFormat/>
    <w:rsid w:val="00114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7zj8knak21" TargetMode="External"/><Relationship Id="rId13" Type="http://schemas.openxmlformats.org/officeDocument/2006/relationships/hyperlink" Target="https://www.inkluzivniskola.cz/slovnicky-na-ss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i4bubv5v21" TargetMode="External"/><Relationship Id="rId12" Type="http://schemas.openxmlformats.org/officeDocument/2006/relationships/hyperlink" Target="https://www.inkluzivniskola.cz/graficka-vizualizace-obsahu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nkluzivniskola.cz/aktualni-otevrene-seminar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kluzivniskola.cz/learningapps" TargetMode="External"/><Relationship Id="rId11" Type="http://schemas.openxmlformats.org/officeDocument/2006/relationships/hyperlink" Target="https://www.inkluzivniskola.cz/pracovni-listy-predmety" TargetMode="External"/><Relationship Id="rId5" Type="http://schemas.openxmlformats.org/officeDocument/2006/relationships/hyperlink" Target="https://www.inkluzivniskola.cz/propojeni-vyuky-obsahu-jazyka" TargetMode="External"/><Relationship Id="rId15" Type="http://schemas.openxmlformats.org/officeDocument/2006/relationships/hyperlink" Target="https://www.inkluzivniskola.cz/zapojeni-do-vyuky" TargetMode="External"/><Relationship Id="rId10" Type="http://schemas.openxmlformats.org/officeDocument/2006/relationships/hyperlink" Target="https://www.inkluzivniskola.cz/cesky-jazyk-a-literatura/s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6g9q3t1k20" TargetMode="External"/><Relationship Id="rId14" Type="http://schemas.openxmlformats.org/officeDocument/2006/relationships/hyperlink" Target="https://www.inkluzivniskola.cz/principy-prace-s-zaky-na-ZS-S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Švehla</dc:creator>
  <cp:keywords/>
  <dc:description/>
  <cp:lastModifiedBy>Václav Švehla</cp:lastModifiedBy>
  <cp:revision>3</cp:revision>
  <cp:lastPrinted>2022-10-14T08:30:00Z</cp:lastPrinted>
  <dcterms:created xsi:type="dcterms:W3CDTF">2022-10-14T08:19:00Z</dcterms:created>
  <dcterms:modified xsi:type="dcterms:W3CDTF">2022-10-17T07:53:00Z</dcterms:modified>
</cp:coreProperties>
</file>